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/>
      </w:pPr>
      <w:r>
        <w:rPr>
          <w:b/>
          <w:bCs/>
          <w:i w:val="false"/>
          <w:strike w:val="false"/>
          <w:dstrike w:val="false"/>
          <w:sz w:val="28"/>
          <w:szCs w:val="28"/>
          <w:u w:val="none"/>
        </w:rPr>
        <w:t>ДОКЛАД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-57" w:right="0" w:hanging="0"/>
        <w:jc w:val="center"/>
        <w:rPr>
          <w:w w:val="96"/>
        </w:rPr>
      </w:pP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о состоянии законодательства Ульяновской области за период 202</w:t>
      </w:r>
      <w:r>
        <w:rPr>
          <w:rFonts w:eastAsia="Source Han Sans CN Regular" w:cs="Lohit Devanagari"/>
          <w:b/>
          <w:bCs/>
          <w:i w:val="false"/>
          <w:strike w:val="false"/>
          <w:dstrike w:val="false"/>
          <w:color w:val="auto"/>
          <w:w w:val="96"/>
          <w:kern w:val="2"/>
          <w:sz w:val="28"/>
          <w:szCs w:val="28"/>
          <w:u w:val="none"/>
          <w:lang w:val="ru-RU" w:eastAsia="ru-RU" w:bidi="ru-RU"/>
        </w:rPr>
        <w:t>3</w:t>
      </w: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 xml:space="preserve"> года,</w:t>
        <w:br/>
        <w:t>по вопросам, отнес</w:t>
      </w:r>
      <w:r>
        <w:rPr>
          <w:rFonts w:eastAsia="Source Han Sans CN Regular" w:cs="Lohit Devanagari"/>
          <w:b/>
          <w:bCs/>
          <w:i w:val="false"/>
          <w:strike w:val="false"/>
          <w:dstrike w:val="false"/>
          <w:color w:val="auto"/>
          <w:w w:val="96"/>
          <w:kern w:val="2"/>
          <w:sz w:val="28"/>
          <w:szCs w:val="28"/>
          <w:u w:val="none"/>
          <w:lang w:val="ru-RU" w:eastAsia="ru-RU" w:bidi="ru-RU"/>
        </w:rPr>
        <w:t>ё</w:t>
      </w:r>
      <w:r>
        <w:rPr>
          <w:b/>
          <w:bCs/>
          <w:i w:val="false"/>
          <w:strike w:val="false"/>
          <w:dstrike w:val="false"/>
          <w:w w:val="96"/>
          <w:sz w:val="28"/>
          <w:szCs w:val="28"/>
          <w:u w:val="none"/>
        </w:rPr>
        <w:t>нным к сфере деятельности Министерства агропромышленного комплекса и развития сельских территорий Ульяновской области</w:t>
      </w:r>
    </w:p>
    <w:p>
      <w:pPr>
        <w:pStyle w:val="Normal"/>
        <w:widowControl w:val="false"/>
        <w:bidi w:val="0"/>
        <w:ind w:firstLine="709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В рамках реализации мониторинга правоприменения законодательства Российской Федерации и законодательства Ульяновской области специалистами Министерства агропромышленного комплекса и развития сельских территорий Ульяновской области (далее — Министерство) выявлены следующи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нормативны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правовы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е</w:t>
      </w:r>
      <w:r>
        <w:rPr>
          <w:sz w:val="28"/>
          <w:szCs w:val="28"/>
        </w:rPr>
        <w:t xml:space="preserve"> акт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ы</w:t>
      </w:r>
      <w:r>
        <w:rPr>
          <w:sz w:val="28"/>
          <w:szCs w:val="28"/>
        </w:rPr>
        <w:t xml:space="preserve"> Российской Федерации: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sz w:val="28"/>
          <w:szCs w:val="28"/>
        </w:rPr>
        <w:t>Бюджетный кодекс Российской Федерации;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sz w:val="28"/>
          <w:szCs w:val="28"/>
        </w:rPr>
        <w:t xml:space="preserve">Федеральный закон от 21.12.2021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z w:val="28"/>
          <w:szCs w:val="28"/>
        </w:rPr>
        <w:t xml:space="preserve"> 414-ФЗ «Об общих принципах организации публичной власти в субъектах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16.07.1998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101-ФЗ «О государственном регулировании обеспечения плодородия земель сельскохозяйственного назначения» (в редакции Федеральн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ого</w:t>
      </w:r>
      <w:r>
        <w:rPr>
          <w:b w:val="false"/>
          <w:color w:val="000000"/>
          <w:sz w:val="28"/>
          <w:szCs w:val="28"/>
        </w:rPr>
        <w:t xml:space="preserve"> закона от 30.12.2021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475-ФЗ);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 xml:space="preserve">Федеральный закон от 29.12.2006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264-ФЗ «О развитии сельского хозяйства»;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sz w:val="28"/>
          <w:szCs w:val="28"/>
        </w:rPr>
        <w:t xml:space="preserve">Федеральный закон от 10.01.1996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z w:val="28"/>
          <w:szCs w:val="28"/>
        </w:rPr>
        <w:t xml:space="preserve"> 4-ФЗ «О мелиорации земель»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Федеральный закон от 30.12.2020 № 490-ФЗ «О пчеловодстве в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sz w:val="28"/>
          <w:szCs w:val="28"/>
        </w:rPr>
        <w:t xml:space="preserve">Федеральный закон от 24.07.2002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z w:val="28"/>
          <w:szCs w:val="28"/>
        </w:rPr>
        <w:t xml:space="preserve"> 101-ФЗ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«</w:t>
      </w:r>
      <w:r>
        <w:rPr>
          <w:b w:val="false"/>
          <w:sz w:val="28"/>
          <w:szCs w:val="28"/>
        </w:rPr>
        <w:t>Об обороте земель сельскохозяйственного назначения»;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b w:val="false"/>
          <w:sz w:val="28"/>
          <w:szCs w:val="28"/>
        </w:rPr>
        <w:t xml:space="preserve">Федеральный закон от 25.07.2011 </w:t>
      </w:r>
      <w:r>
        <w:rPr>
          <w:rFonts w:eastAsia="Source Han Sans CN Regular" w:cs="Lohit Devanagari"/>
          <w:b w:val="false"/>
          <w:color w:val="auto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sz w:val="28"/>
          <w:szCs w:val="28"/>
        </w:rPr>
        <w:t xml:space="preserve"> 260-ФЗ «О государственной поддержке</w:t>
        <w:br/>
        <w:t>в сфере сельскохозяйственного страхования и о внесении изменений в Федеральный закон «О развитии сельского хозяйства»;</w:t>
      </w:r>
    </w:p>
    <w:p>
      <w:pPr>
        <w:pStyle w:val="Style32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b w:val="false"/>
        </w:rPr>
      </w:pPr>
      <w:r>
        <w:rPr>
          <w:b w:val="false"/>
          <w:sz w:val="28"/>
          <w:szCs w:val="28"/>
        </w:rPr>
        <w:t xml:space="preserve">Постановление Правительства РФ от 25.10.2023 </w:t>
      </w:r>
      <w:r>
        <w:rPr>
          <w:b w:val="false"/>
          <w:sz w:val="28"/>
          <w:szCs w:val="28"/>
        </w:rPr>
        <w:t>№</w:t>
      </w:r>
      <w:r>
        <w:rPr>
          <w:b w:val="false"/>
          <w:sz w:val="28"/>
          <w:szCs w:val="28"/>
        </w:rPr>
        <w:t xml:space="preserve"> 1782 </w:t>
      </w:r>
      <w:r>
        <w:rPr>
          <w:b w:val="false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>
          <w:color w:val="000000"/>
        </w:rPr>
      </w:pPr>
      <w:r>
        <w:rPr>
          <w:b w:val="false"/>
          <w:color w:val="000000"/>
          <w:sz w:val="28"/>
          <w:szCs w:val="28"/>
        </w:rPr>
        <w:t>постановление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14.05.2021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731</w:t>
        <w:br/>
        <w:t>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>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31.05.2019 </w:t>
      </w: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№</w:t>
      </w:r>
      <w:r>
        <w:rPr>
          <w:b w:val="false"/>
          <w:color w:val="00000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uppressAutoHyphens w:val="true"/>
        <w:bidi w:val="0"/>
        <w:ind w:left="0" w:firstLine="709"/>
        <w:jc w:val="both"/>
        <w:textAlignment w:val="baseline"/>
        <w:outlineLvl w:val="0"/>
        <w:rPr/>
      </w:pPr>
      <w:r>
        <w:rPr>
          <w:rFonts w:eastAsia="Source Han Sans CN Regular" w:cs="Lohit Devanagari"/>
          <w:b w:val="false"/>
          <w:color w:val="000000"/>
          <w:kern w:val="2"/>
          <w:sz w:val="28"/>
          <w:szCs w:val="28"/>
          <w:lang w:val="ru-RU" w:eastAsia="ru-RU" w:bidi="ru-RU"/>
        </w:rPr>
        <w:t>п</w:t>
      </w:r>
      <w:r>
        <w:rPr>
          <w:b w:val="false"/>
          <w:color w:val="000000"/>
          <w:sz w:val="28"/>
          <w:szCs w:val="28"/>
        </w:rPr>
        <w:t>остановление Правительства Р</w:t>
      </w:r>
      <w:r>
        <w:rPr>
          <w:rFonts w:cs="PT Astra Serif"/>
          <w:b w:val="false"/>
          <w:color w:val="auto"/>
          <w:sz w:val="28"/>
          <w:szCs w:val="28"/>
        </w:rPr>
        <w:t>оссийской Федерации</w:t>
      </w:r>
      <w:r>
        <w:rPr>
          <w:b w:val="false"/>
          <w:color w:val="000000"/>
          <w:sz w:val="28"/>
          <w:szCs w:val="28"/>
        </w:rPr>
        <w:t xml:space="preserve"> от 14.07.2012 № 717</w:t>
        <w:br/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left="0"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В соответствии с выявленными нормативными правовыми актами Министерством п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одготовлены проекты нормативных правовых актов, регулирующих предоставление грантов и субсидий из областного бюджета Ульяновской области в целях 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возмещения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(финансового обеспечения) их затрат,</w:t>
        <w:br/>
        <w:t>в том числе постановлений Правительства Ульяновской области и приказ</w:t>
      </w:r>
      <w:r>
        <w:rPr>
          <w:rFonts w:eastAsia="Source Han Sans CN Regular" w:cs="Lohit Devanagari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ru-RU" w:bidi="ru-RU"/>
        </w:rPr>
        <w:t>ов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Министерства о приведении в соответствие с выявленными в ходе правоприменения законодательства Российской Федерации и законодательства Ульяновской области,</w:t>
        <w:br/>
        <w:t>а также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В рамках реализации плана законопроектной и нормотворческой деятельности в Ульяновской области в </w:t>
      </w:r>
      <w:r>
        <w:rPr>
          <w:rFonts w:eastAsia="Source Han Sans CN Regular" w:cs="Lohit Devanagari"/>
          <w:color w:val="auto"/>
          <w:kern w:val="2"/>
          <w:sz w:val="28"/>
          <w:szCs w:val="28"/>
          <w:lang w:val="ru-RU" w:eastAsia="ru-RU" w:bidi="ru-RU"/>
        </w:rPr>
        <w:t>2023</w:t>
      </w:r>
      <w:r>
        <w:rPr>
          <w:sz w:val="28"/>
          <w:szCs w:val="28"/>
        </w:rPr>
        <w:t xml:space="preserve"> году Министерством агропромышленного комплекса</w:t>
        <w:br/>
        <w:t>и развития сельских территорий Ульяновской области проведена следующая работа в сфере подготовки правовых актов.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Lohit Devanagari" w:ascii="PT Astra Serif" w:hAnsi="PT Astra Serif"/>
          <w:b w:val="false"/>
          <w:bCs w:val="false"/>
          <w:color w:val="auto"/>
          <w:kern w:val="2"/>
          <w:sz w:val="28"/>
          <w:szCs w:val="28"/>
          <w:lang w:val="ru-RU" w:eastAsia="en-US" w:bidi="ru-RU"/>
        </w:rPr>
        <w:t xml:space="preserve">Подготовлено </w:t>
      </w:r>
      <w:r>
        <w:rPr>
          <w:rFonts w:eastAsia="Calibri" w:cs="Lohit Devanagari" w:ascii="PT Astra Serif" w:hAnsi="PT Astra Serif"/>
          <w:b/>
          <w:bCs/>
          <w:color w:val="auto"/>
          <w:kern w:val="2"/>
          <w:sz w:val="28"/>
          <w:szCs w:val="28"/>
          <w:lang w:val="ru-RU" w:eastAsia="en-US" w:bidi="ru-RU"/>
        </w:rPr>
        <w:t>2 закона Ульяновской области</w:t>
      </w:r>
      <w:r>
        <w:rPr>
          <w:rFonts w:eastAsia="Calibri" w:cs="Lohit Devanagari" w:ascii="PT Astra Serif" w:hAnsi="PT Astra Serif"/>
          <w:b w:val="false"/>
          <w:bCs w:val="false"/>
          <w:color w:val="auto"/>
          <w:kern w:val="2"/>
          <w:sz w:val="28"/>
          <w:szCs w:val="28"/>
          <w:lang w:val="ru-RU" w:eastAsia="en-US" w:bidi="ru-RU"/>
        </w:rPr>
        <w:t>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Закон Ульяновской области от 15.05.2023 </w:t>
      </w:r>
      <w:r>
        <w:rPr>
          <w:rFonts w:eastAsia="Calibri" w:cs="Lohit Devanagari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en-US" w:bidi="ru-RU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40-ЗО «О порядке подачи заявок на получение государственной поддержки в сфере развития сельского хозяйства</w:t>
        <w:br/>
        <w:t>и устойчивого развития сельских территорий»;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Закон Ульяновской области от 15.05.2023 </w:t>
      </w:r>
      <w:r>
        <w:rPr>
          <w:rFonts w:eastAsia="Calibri" w:cs="Lohit Devanagari" w:ascii="PT Astra Serif" w:hAnsi="PT Astra Serif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en-US" w:bidi="ru-RU"/>
        </w:rPr>
        <w:t>№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41-ЗО «О внесении изменения</w:t>
        <w:br/>
        <w:t>в статью 3 Закона Ульяновской области «О правовом регулировании отдельных вопросов, связанных с обеспечением плодородия земель сельскохозяйственного назначения в Ульяновской области».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Подготовлено </w:t>
      </w:r>
      <w:r>
        <w:rPr>
          <w:rFonts w:eastAsia="Calibri" w:cs="Times New Roman"/>
          <w:b/>
          <w:bCs/>
          <w:color w:val="00000A"/>
          <w:kern w:val="0"/>
          <w:sz w:val="28"/>
          <w:szCs w:val="28"/>
          <w:lang w:val="ru-RU" w:eastAsia="en-US" w:bidi="ar-SA"/>
        </w:rPr>
        <w:t>47</w:t>
      </w:r>
      <w:r>
        <w:rPr>
          <w:b/>
          <w:sz w:val="28"/>
          <w:szCs w:val="28"/>
        </w:rPr>
        <w:t xml:space="preserve"> постановлений Правительства Ульяновской области</w:t>
      </w:r>
      <w:r>
        <w:rPr>
          <w:rStyle w:val="Date"/>
          <w:bCs/>
          <w:sz w:val="28"/>
          <w:szCs w:val="28"/>
        </w:rPr>
        <w:t>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ascii="PT Astra Serif" w:hAnsi="PT Astra Serif"/>
          <w:sz w:val="28"/>
          <w:szCs w:val="28"/>
        </w:rPr>
        <w:t xml:space="preserve">Также была осуществлена </w:t>
      </w:r>
      <w:r>
        <w:rPr>
          <w:rFonts w:ascii="PT Astra Serif" w:hAnsi="PT Astra Serif"/>
          <w:b/>
          <w:sz w:val="28"/>
          <w:szCs w:val="28"/>
        </w:rPr>
        <w:t>подготовка: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Times New Roman" w:ascii="PT Astra Serif" w:hAnsi="PT Astra Serif"/>
          <w:color w:val="00000A"/>
          <w:kern w:val="0"/>
          <w:sz w:val="28"/>
          <w:szCs w:val="28"/>
          <w:lang w:val="ru-RU" w:eastAsia="en-US" w:bidi="ar-SA"/>
        </w:rPr>
        <w:t>пяти</w:t>
      </w:r>
      <w:r>
        <w:rPr>
          <w:rFonts w:ascii="PT Astra Serif" w:hAnsi="PT Astra Serif"/>
          <w:sz w:val="28"/>
          <w:szCs w:val="28"/>
        </w:rPr>
        <w:t xml:space="preserve"> распоряжени</w:t>
      </w:r>
      <w:r>
        <w:rPr>
          <w:rFonts w:eastAsia="Calibri" w:ascii="PT Astra Serif" w:hAnsi="PT Astra Serif"/>
          <w:color w:val="00000A"/>
          <w:sz w:val="28"/>
          <w:szCs w:val="28"/>
          <w:lang w:eastAsia="en-US"/>
        </w:rPr>
        <w:t>й</w:t>
      </w:r>
      <w:r>
        <w:rPr>
          <w:rFonts w:ascii="PT Astra Serif" w:hAnsi="PT Astra Serif"/>
          <w:sz w:val="28"/>
          <w:szCs w:val="28"/>
        </w:rPr>
        <w:t xml:space="preserve"> Губернатора Ульяновской области;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Fonts w:eastAsia="Calibri" w:cs="Lohit Devanagari" w:ascii="PT Astra Serif" w:hAnsi="PT Astra Serif"/>
          <w:color w:val="auto"/>
          <w:kern w:val="2"/>
          <w:sz w:val="28"/>
          <w:szCs w:val="28"/>
          <w:lang w:val="ru-RU" w:eastAsia="en-US" w:bidi="ru-RU"/>
        </w:rPr>
        <w:t>четыре</w:t>
      </w:r>
      <w:r>
        <w:rPr>
          <w:rFonts w:ascii="PT Astra Serif" w:hAnsi="PT Astra Serif"/>
          <w:sz w:val="28"/>
          <w:szCs w:val="28"/>
        </w:rPr>
        <w:t xml:space="preserve"> распоряжени</w:t>
      </w:r>
      <w:r>
        <w:rPr>
          <w:rFonts w:eastAsia="Calibri" w:cs="Lohit Devanagari" w:ascii="PT Astra Serif" w:hAnsi="PT Astra Serif"/>
          <w:color w:val="auto"/>
          <w:kern w:val="2"/>
          <w:sz w:val="28"/>
          <w:szCs w:val="28"/>
          <w:lang w:val="ru-RU" w:eastAsia="en-US" w:bidi="ru-RU"/>
        </w:rPr>
        <w:t>я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cs="PT Astra Serif" w:ascii="PT Astra Serif" w:hAnsi="PT Astra Serif"/>
          <w:sz w:val="28"/>
          <w:szCs w:val="28"/>
        </w:rPr>
        <w:t xml:space="preserve">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/>
      </w:pPr>
      <w:r>
        <w:rPr>
          <w:rStyle w:val="Date"/>
          <w:rFonts w:ascii="PT Astra Serif" w:hAnsi="PT Astra Serif"/>
          <w:bCs/>
          <w:sz w:val="28"/>
          <w:szCs w:val="28"/>
        </w:rPr>
        <w:t>3</w:t>
      </w:r>
      <w:r>
        <w:rPr>
          <w:rStyle w:val="Date"/>
          <w:rFonts w:eastAsia="Calibri" w:cs="Times New Roman" w:ascii="PT Astra Serif" w:hAnsi="PT Astra Serif"/>
          <w:bCs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Style w:val="Date"/>
          <w:rFonts w:ascii="PT Astra Serif" w:hAnsi="PT Astra Serif"/>
          <w:bCs/>
          <w:sz w:val="28"/>
          <w:szCs w:val="28"/>
        </w:rPr>
        <w:t xml:space="preserve"> приказа Министерства агропромышленного комплекса и развития сельских территорий Ульяновской области.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bidi w:val="0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cs="PT Astra Serif"/>
          <w:b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Выявленные в ходе реализации мониторинга правоприменения нормативные правовые акты приведены в соответствие с федеральным законодательством</w:t>
        <w:br/>
        <w:t>в установленный срок.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DefaultParagraphFont">
    <w:name w:val="Default Paragraph Font"/>
    <w:qFormat/>
    <w:rPr/>
  </w:style>
  <w:style w:type="character" w:styleId="Ref">
    <w:name w:val="ref"/>
    <w:basedOn w:val="DefaultParagraphFont"/>
    <w:qFormat/>
    <w:rPr/>
  </w:style>
  <w:style w:type="character" w:styleId="Number">
    <w:name w:val="number"/>
    <w:basedOn w:val="DefaultParagraphFont"/>
    <w:qFormat/>
    <w:rPr/>
  </w:style>
  <w:style w:type="character" w:styleId="Date">
    <w:name w:val="date"/>
    <w:basedOn w:val="DefaultParagraphFont"/>
    <w:qFormat/>
    <w:rPr/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20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20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20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20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20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20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20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20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20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20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20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20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LibreOffice/6.4.7.2$Linux_X86_64 LibreOffice_project/40$Build-2</Application>
  <Pages>2</Pages>
  <Words>520</Words>
  <Characters>4003</Characters>
  <CharactersWithSpaces>4499</CharactersWithSpaces>
  <Paragraphs>27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2021-03-17T15:06:00Z</dcterms:created>
  <dc:creator/>
  <dc:description/>
  <dc:language>ru-RU</dc:language>
  <cp:lastModifiedBy/>
  <cp:lastPrinted>2023-03-02T14:59:45Z</cp:lastPrinted>
  <dcterms:modified xsi:type="dcterms:W3CDTF">2024-03-29T10:51:15Z</dcterms:modified>
  <cp:revision>13</cp:revision>
  <dc:subject/>
  <dc:title>Указ Губернатора Ульяновской области от 21.05.2019 N 44"О правовом мониторинге в Ульяновской области"(вместе с "Положением о правовом мониторинге в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